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4302983E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proofErr w:type="spellStart"/>
      <w:r w:rsidR="00060577">
        <w:rPr>
          <w:rFonts w:eastAsia="Times New Roman"/>
        </w:rPr>
        <w:t>Thorntonloch</w:t>
      </w:r>
      <w:proofErr w:type="spellEnd"/>
    </w:p>
    <w:p w14:paraId="27D877EB" w14:textId="34F7BB0F" w:rsidR="00492E2D" w:rsidRPr="00F83ADC" w:rsidRDefault="00492E2D" w:rsidP="00492E2D">
      <w:pPr>
        <w:rPr>
          <w:rStyle w:val="Hyperlink"/>
          <w:color w:val="016574" w:themeColor="accent2"/>
        </w:rPr>
      </w:pPr>
      <w:r w:rsidRPr="00F83ADC">
        <w:rPr>
          <w:color w:val="016574" w:themeColor="accent2"/>
        </w:rPr>
        <w:fldChar w:fldCharType="begin"/>
      </w:r>
      <w:r w:rsidR="000257F7" w:rsidRPr="00F83ADC">
        <w:rPr>
          <w:color w:val="016574" w:themeColor="accent2"/>
        </w:rPr>
        <w:instrText>HYPERLINK "https://www2.sepa.org.uk/bathingwaters/ViewResults.aspx?id=4573"</w:instrText>
      </w:r>
      <w:r w:rsidRPr="00F83ADC">
        <w:rPr>
          <w:color w:val="016574" w:themeColor="accent2"/>
        </w:rPr>
      </w:r>
      <w:r w:rsidRPr="00F83ADC">
        <w:rPr>
          <w:color w:val="016574" w:themeColor="accent2"/>
        </w:rPr>
        <w:fldChar w:fldCharType="separate"/>
      </w:r>
      <w:r w:rsidRPr="00147E77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F83ADC">
        <w:rPr>
          <w:b w:val="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49C9C901" w:rsidR="00492E2D" w:rsidRDefault="00847929" w:rsidP="00A01B8C">
      <w:pPr>
        <w:rPr>
          <w:rFonts w:eastAsia="Times New Roman"/>
        </w:rPr>
      </w:pPr>
      <w:proofErr w:type="spellStart"/>
      <w:r w:rsidRPr="00847929">
        <w:rPr>
          <w:rFonts w:eastAsia="Times New Roman"/>
        </w:rPr>
        <w:t>Thorntonloch</w:t>
      </w:r>
      <w:proofErr w:type="spellEnd"/>
      <w:r w:rsidRPr="00847929">
        <w:rPr>
          <w:rFonts w:eastAsia="Times New Roman"/>
        </w:rPr>
        <w:t xml:space="preserve"> bathing water is approximately 8 km to the south-east of Dunbar. It is a</w:t>
      </w:r>
      <w:r w:rsidR="00C56B89">
        <w:rPr>
          <w:rFonts w:eastAsia="Times New Roman"/>
        </w:rPr>
        <w:t>pproximately</w:t>
      </w:r>
      <w:r w:rsidRPr="00847929">
        <w:rPr>
          <w:rFonts w:eastAsia="Times New Roman"/>
        </w:rPr>
        <w:t xml:space="preserve"> 1 km long</w:t>
      </w:r>
      <w:r w:rsidR="00C56B89">
        <w:rPr>
          <w:rFonts w:eastAsia="Times New Roman"/>
        </w:rPr>
        <w:t xml:space="preserve"> and </w:t>
      </w:r>
      <w:r w:rsidRPr="00847929">
        <w:rPr>
          <w:rFonts w:eastAsia="Times New Roman"/>
        </w:rPr>
        <w:t xml:space="preserve">is popular with anglers and surfers. </w:t>
      </w:r>
      <w:r w:rsidR="007C46A3">
        <w:rPr>
          <w:rFonts w:eastAsia="Times New Roman"/>
        </w:rPr>
        <w:t xml:space="preserve">The </w:t>
      </w:r>
      <w:r w:rsidR="007C46A3" w:rsidRPr="00847929">
        <w:rPr>
          <w:rFonts w:eastAsia="Times New Roman"/>
        </w:rPr>
        <w:t xml:space="preserve">sandy beach slopes gently towards the water </w:t>
      </w:r>
      <w:r w:rsidR="002D00CC">
        <w:rPr>
          <w:rFonts w:eastAsia="Times New Roman"/>
        </w:rPr>
        <w:t>and depending on the tides, there can be</w:t>
      </w:r>
      <w:r w:rsidRPr="00847929">
        <w:rPr>
          <w:rFonts w:eastAsia="Times New Roman"/>
        </w:rPr>
        <w:t xml:space="preserve"> 0–250 metres</w:t>
      </w:r>
      <w:r w:rsidR="002D00CC">
        <w:rPr>
          <w:rFonts w:eastAsia="Times New Roman"/>
        </w:rPr>
        <w:t xml:space="preserve"> before the water</w:t>
      </w:r>
      <w:r w:rsidR="00C56B89">
        <w:rPr>
          <w:rFonts w:eastAsia="Times New Roman"/>
        </w:rPr>
        <w:t>’</w:t>
      </w:r>
      <w:r w:rsidR="002D00CC">
        <w:rPr>
          <w:rFonts w:eastAsia="Times New Roman"/>
        </w:rPr>
        <w:t>s edge.</w:t>
      </w:r>
    </w:p>
    <w:p w14:paraId="0F37DE76" w14:textId="77777777" w:rsidR="00223CED" w:rsidRPr="002A46E4" w:rsidRDefault="00223CED" w:rsidP="00147E77">
      <w:pPr>
        <w:rPr>
          <w:rFonts w:eastAsia="Times New Roman"/>
        </w:rPr>
      </w:pPr>
    </w:p>
    <w:p w14:paraId="2B15349E" w14:textId="4AA603C7" w:rsidR="00147E77" w:rsidRPr="002A46E4" w:rsidRDefault="00147E77" w:rsidP="00147E77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5ABC978" w:rsidR="00223CED" w:rsidRPr="002A46E4" w:rsidRDefault="00223CED" w:rsidP="00147E77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FE1827">
        <w:rPr>
          <w:rFonts w:eastAsia="Times New Roman"/>
          <w:sz w:val="24"/>
          <w:szCs w:val="24"/>
        </w:rPr>
        <w:t>East Lothian</w:t>
      </w:r>
    </w:p>
    <w:p w14:paraId="47E0D9B9" w14:textId="74B40020" w:rsidR="00223CED" w:rsidRPr="002A46E4" w:rsidRDefault="00223CED" w:rsidP="00147E77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FE1827">
        <w:rPr>
          <w:rFonts w:eastAsia="Times New Roman"/>
          <w:sz w:val="24"/>
          <w:szCs w:val="24"/>
        </w:rPr>
        <w:t>1999</w:t>
      </w:r>
    </w:p>
    <w:p w14:paraId="180D570A" w14:textId="1C3D7E4B" w:rsidR="00223CED" w:rsidRPr="002A46E4" w:rsidRDefault="00223CED" w:rsidP="00147E77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FE1827">
        <w:t>NT 75384 74410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6D8FACA2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1CB9C6D6" w14:textId="77777777" w:rsidR="00B16ADC" w:rsidRPr="00F35CC2" w:rsidRDefault="00B16ADC" w:rsidP="00B16ADC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1E0DCFFE" w14:textId="77777777" w:rsidR="00B16ADC" w:rsidRPr="00F35CC2" w:rsidRDefault="00B16ADC" w:rsidP="00B16ADC">
      <w:pPr>
        <w:rPr>
          <w:rFonts w:ascii="Arial" w:hAnsi="Arial" w:cs="Arial"/>
        </w:rPr>
      </w:pPr>
    </w:p>
    <w:p w14:paraId="12F10B5C" w14:textId="104718E3" w:rsidR="00B16ADC" w:rsidRPr="00F35CC2" w:rsidRDefault="00B16ADC" w:rsidP="00B16ADC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 </w:t>
      </w:r>
    </w:p>
    <w:p w14:paraId="5AF6F80E" w14:textId="77777777" w:rsidR="00075AD5" w:rsidRDefault="00075AD5" w:rsidP="00075AD5"/>
    <w:p w14:paraId="1E487C49" w14:textId="77777777" w:rsidR="00B16ADC" w:rsidRDefault="00B16ADC" w:rsidP="00075AD5"/>
    <w:p w14:paraId="43EC35BF" w14:textId="77777777" w:rsidR="00B16ADC" w:rsidRDefault="00B16ADC" w:rsidP="00075AD5"/>
    <w:p w14:paraId="65D25C4C" w14:textId="77777777" w:rsidR="00B16ADC" w:rsidRDefault="00B16ADC" w:rsidP="00075AD5"/>
    <w:p w14:paraId="7401650E" w14:textId="77777777" w:rsidR="00B16ADC" w:rsidRPr="00075AD5" w:rsidRDefault="00B16ADC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51D3411B" w14:textId="1F7EA63F" w:rsidR="00791F3A" w:rsidRPr="00791F3A" w:rsidRDefault="00D210AB" w:rsidP="00791F3A">
      <w:pPr>
        <w:rPr>
          <w:rFonts w:eastAsia="Times New Roman"/>
        </w:rPr>
      </w:pPr>
      <w:r>
        <w:rPr>
          <w:rFonts w:eastAsia="Times New Roman"/>
        </w:rPr>
        <w:t>A</w:t>
      </w:r>
      <w:r w:rsidR="00791F3A" w:rsidRPr="00791F3A">
        <w:rPr>
          <w:rFonts w:eastAsia="Times New Roman"/>
        </w:rPr>
        <w:t xml:space="preserve"> catchment </w:t>
      </w:r>
      <w:r>
        <w:rPr>
          <w:rFonts w:eastAsia="Times New Roman"/>
        </w:rPr>
        <w:t>of</w:t>
      </w:r>
      <w:r w:rsidR="00791F3A" w:rsidRPr="00791F3A">
        <w:rPr>
          <w:rFonts w:eastAsia="Times New Roman"/>
        </w:rPr>
        <w:t xml:space="preserve"> </w:t>
      </w:r>
      <w:r w:rsidRPr="00791F3A">
        <w:rPr>
          <w:rFonts w:eastAsia="Times New Roman"/>
        </w:rPr>
        <w:t>16 km2</w:t>
      </w:r>
      <w:r>
        <w:rPr>
          <w:rFonts w:eastAsia="Times New Roman"/>
        </w:rPr>
        <w:t xml:space="preserve"> drains into </w:t>
      </w:r>
      <w:proofErr w:type="spellStart"/>
      <w:r w:rsidR="00791F3A" w:rsidRPr="00791F3A">
        <w:rPr>
          <w:rFonts w:eastAsia="Times New Roman"/>
        </w:rPr>
        <w:t>Thorntonloch</w:t>
      </w:r>
      <w:proofErr w:type="spellEnd"/>
      <w:r w:rsidR="00791F3A" w:rsidRPr="00791F3A">
        <w:rPr>
          <w:rFonts w:eastAsia="Times New Roman"/>
        </w:rPr>
        <w:t xml:space="preserve"> bathing water</w:t>
      </w:r>
      <w:r>
        <w:rPr>
          <w:rFonts w:eastAsia="Times New Roman"/>
        </w:rPr>
        <w:t>.</w:t>
      </w:r>
      <w:r w:rsidR="00791F3A" w:rsidRPr="00791F3A">
        <w:rPr>
          <w:rFonts w:eastAsia="Times New Roman"/>
        </w:rPr>
        <w:t xml:space="preserve"> The area is </w:t>
      </w:r>
      <w:r w:rsidR="00330510">
        <w:rPr>
          <w:rFonts w:eastAsia="Times New Roman"/>
        </w:rPr>
        <w:t>mainly</w:t>
      </w:r>
      <w:r w:rsidR="00791F3A" w:rsidRPr="00791F3A">
        <w:rPr>
          <w:rFonts w:eastAsia="Times New Roman"/>
        </w:rPr>
        <w:t xml:space="preserve"> </w:t>
      </w:r>
    </w:p>
    <w:p w14:paraId="30758CC4" w14:textId="240391C4" w:rsidR="00791F3A" w:rsidRPr="00791F3A" w:rsidRDefault="00791F3A" w:rsidP="00791F3A">
      <w:pPr>
        <w:rPr>
          <w:rFonts w:eastAsia="Times New Roman"/>
        </w:rPr>
      </w:pPr>
      <w:r w:rsidRPr="00791F3A">
        <w:rPr>
          <w:rFonts w:eastAsia="Times New Roman"/>
        </w:rPr>
        <w:t xml:space="preserve">rural (99%) with grassland the major land use. </w:t>
      </w:r>
      <w:r w:rsidR="00330510">
        <w:rPr>
          <w:rFonts w:eastAsia="Times New Roman"/>
        </w:rPr>
        <w:t>Only</w:t>
      </w:r>
      <w:r w:rsidRPr="00791F3A">
        <w:rPr>
          <w:rFonts w:eastAsia="Times New Roman"/>
        </w:rPr>
        <w:t xml:space="preserve"> 1% of the bathing water catchment is urban. </w:t>
      </w:r>
    </w:p>
    <w:p w14:paraId="346AA5D5" w14:textId="45FCD284" w:rsidR="00AC4E9B" w:rsidRDefault="00791F3A" w:rsidP="00791F3A">
      <w:pPr>
        <w:rPr>
          <w:rFonts w:eastAsia="Times New Roman"/>
        </w:rPr>
      </w:pPr>
      <w:r w:rsidRPr="00791F3A">
        <w:rPr>
          <w:rFonts w:eastAsia="Times New Roman"/>
        </w:rPr>
        <w:t xml:space="preserve">There is no main </w:t>
      </w:r>
      <w:r w:rsidR="00882928">
        <w:rPr>
          <w:rFonts w:eastAsia="Times New Roman"/>
        </w:rPr>
        <w:t>town</w:t>
      </w:r>
      <w:r w:rsidR="00484E4B">
        <w:rPr>
          <w:rFonts w:eastAsia="Times New Roman"/>
        </w:rPr>
        <w:t xml:space="preserve"> withing the catchment,</w:t>
      </w:r>
      <w:r w:rsidRPr="00791F3A">
        <w:rPr>
          <w:rFonts w:eastAsia="Times New Roman"/>
        </w:rPr>
        <w:t xml:space="preserve"> but there are farms and smallholdings scattered throughout. </w:t>
      </w:r>
    </w:p>
    <w:p w14:paraId="1E31B35F" w14:textId="77777777" w:rsidR="00AC4E9B" w:rsidRDefault="00AC4E9B" w:rsidP="00791F3A">
      <w:pPr>
        <w:rPr>
          <w:rFonts w:eastAsia="Times New Roman"/>
        </w:rPr>
      </w:pPr>
    </w:p>
    <w:p w14:paraId="02888674" w14:textId="7A68B697" w:rsidR="00791F3A" w:rsidRPr="00791F3A" w:rsidRDefault="00791F3A" w:rsidP="00791F3A">
      <w:pPr>
        <w:rPr>
          <w:rFonts w:eastAsia="Times New Roman"/>
        </w:rPr>
      </w:pPr>
      <w:r w:rsidRPr="00791F3A">
        <w:rPr>
          <w:rFonts w:eastAsia="Times New Roman"/>
        </w:rPr>
        <w:t xml:space="preserve">The main river within the bathing water catchment is the Thornton Burn (also known as Thurston </w:t>
      </w:r>
    </w:p>
    <w:p w14:paraId="4A9AC437" w14:textId="77777777" w:rsidR="00791F3A" w:rsidRPr="00791F3A" w:rsidRDefault="00791F3A" w:rsidP="00791F3A">
      <w:pPr>
        <w:rPr>
          <w:rFonts w:eastAsia="Times New Roman"/>
        </w:rPr>
      </w:pPr>
      <w:r w:rsidRPr="00791F3A">
        <w:rPr>
          <w:rFonts w:eastAsia="Times New Roman"/>
        </w:rPr>
        <w:t>Mains Burn).</w:t>
      </w:r>
    </w:p>
    <w:p w14:paraId="693CFB94" w14:textId="77777777" w:rsidR="00AC4E9B" w:rsidRDefault="00AC4E9B" w:rsidP="00791F3A">
      <w:pPr>
        <w:rPr>
          <w:rFonts w:eastAsia="Times New Roman"/>
        </w:rPr>
      </w:pPr>
    </w:p>
    <w:p w14:paraId="26D9300F" w14:textId="49C7BFA3" w:rsidR="00791F3A" w:rsidRPr="00791F3A" w:rsidRDefault="00791F3A" w:rsidP="00791F3A">
      <w:pPr>
        <w:rPr>
          <w:rFonts w:eastAsia="Times New Roman"/>
        </w:rPr>
      </w:pPr>
      <w:r w:rsidRPr="00791F3A">
        <w:rPr>
          <w:rFonts w:eastAsia="Times New Roman"/>
        </w:rPr>
        <w:t xml:space="preserve">There is one Site of Special Scientific Interest within the </w:t>
      </w:r>
      <w:proofErr w:type="spellStart"/>
      <w:r w:rsidRPr="00791F3A">
        <w:rPr>
          <w:rFonts w:eastAsia="Times New Roman"/>
        </w:rPr>
        <w:t>Thorntonloch</w:t>
      </w:r>
      <w:proofErr w:type="spellEnd"/>
      <w:r w:rsidRPr="00791F3A">
        <w:rPr>
          <w:rFonts w:eastAsia="Times New Roman"/>
        </w:rPr>
        <w:t xml:space="preserve"> bathing water catchment, </w:t>
      </w:r>
      <w:proofErr w:type="spellStart"/>
      <w:r w:rsidRPr="00791F3A">
        <w:rPr>
          <w:rFonts w:eastAsia="Times New Roman"/>
        </w:rPr>
        <w:t>Lammermuir</w:t>
      </w:r>
      <w:proofErr w:type="spellEnd"/>
      <w:r w:rsidRPr="00791F3A">
        <w:rPr>
          <w:rFonts w:eastAsia="Times New Roman"/>
        </w:rPr>
        <w:t xml:space="preserve"> Deans. It is designated due to the presence of scarce and declining habitats.</w:t>
      </w:r>
    </w:p>
    <w:p w14:paraId="4FFB66F9" w14:textId="7515779A" w:rsidR="00403DFD" w:rsidRDefault="00791F3A" w:rsidP="00791F3A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 w:rsidRPr="00791F3A">
        <w:rPr>
          <w:rFonts w:eastAsia="Times New Roman"/>
        </w:rPr>
        <w:t>The Lothian/Borders area was designated as a surface water Nitrate Vulnerable Zone in 2002.</w:t>
      </w:r>
      <w:r w:rsidRPr="00791F3A">
        <w:rPr>
          <w:rFonts w:eastAsia="Times New Roman"/>
        </w:rPr>
        <w:cr/>
      </w:r>
      <w:r w:rsidR="00403DFD">
        <w:br w:type="page"/>
      </w:r>
    </w:p>
    <w:p w14:paraId="114695C2" w14:textId="5019EACF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proofErr w:type="spellStart"/>
      <w:r w:rsidR="00060577">
        <w:t>Thorntonloch</w:t>
      </w:r>
      <w:proofErr w:type="spellEnd"/>
      <w:r>
        <w:t xml:space="preserve"> bathing water</w:t>
      </w:r>
    </w:p>
    <w:p w14:paraId="5BEBEAD9" w14:textId="49DBE845" w:rsidR="00470E9A" w:rsidRDefault="005D4F02" w:rsidP="00AD629F">
      <w:pPr>
        <w:ind w:right="-83"/>
        <w:jc w:val="center"/>
      </w:pPr>
      <w:r>
        <w:rPr>
          <w:noProof/>
        </w:rPr>
        <w:drawing>
          <wp:inline distT="0" distB="0" distL="0" distR="0" wp14:anchorId="146A7D8E" wp14:editId="4C37A9CE">
            <wp:extent cx="5709684" cy="8078571"/>
            <wp:effectExtent l="0" t="0" r="5715" b="0"/>
            <wp:docPr id="565789291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89291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226" cy="810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3C40DBF0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proofErr w:type="spellStart"/>
      <w:r w:rsidR="00060577">
        <w:t>Thorntonloch</w:t>
      </w:r>
      <w:proofErr w:type="spellEnd"/>
      <w:r>
        <w:t xml:space="preserve"> bathing water</w:t>
      </w:r>
    </w:p>
    <w:p w14:paraId="43666F40" w14:textId="487E6764" w:rsidR="00D14049" w:rsidRDefault="005D4F02" w:rsidP="00147E77">
      <w:pPr>
        <w:ind w:right="-83"/>
        <w:jc w:val="center"/>
      </w:pPr>
      <w:r>
        <w:rPr>
          <w:noProof/>
        </w:rPr>
        <w:drawing>
          <wp:inline distT="0" distB="0" distL="0" distR="0" wp14:anchorId="34514FA1" wp14:editId="79CF95DB">
            <wp:extent cx="5720316" cy="8093615"/>
            <wp:effectExtent l="0" t="0" r="0" b="3175"/>
            <wp:docPr id="26162026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2026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259" cy="81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3637E028" w14:textId="748EAEC9" w:rsidR="00147E77" w:rsidRDefault="00147E77" w:rsidP="00147E77">
      <w:r w:rsidRPr="00147E77">
        <w:t>Whilst Scottish Water provides most water collection and treatment services in Scotland, there are no Scottish Water assets in the vicinity of this bathing water.</w:t>
      </w:r>
    </w:p>
    <w:p w14:paraId="17CF8747" w14:textId="77777777" w:rsidR="00147E77" w:rsidRPr="00147E77" w:rsidRDefault="00147E77" w:rsidP="00147E77"/>
    <w:p w14:paraId="189F366D" w14:textId="77777777" w:rsidR="00147E77" w:rsidRPr="00147E77" w:rsidRDefault="00147E77" w:rsidP="00147E77">
      <w:r w:rsidRPr="00147E77">
        <w:t>There are no other significant sewage discharges likely to threaten the water quality at this bathing water.</w:t>
      </w:r>
    </w:p>
    <w:p w14:paraId="00F13E1A" w14:textId="5B6B1600" w:rsidR="00473B48" w:rsidRDefault="00473B48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3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20D33B9" w14:textId="77777777" w:rsidR="00147E77" w:rsidRPr="006F6F22" w:rsidRDefault="00147E77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961EDB" w:rsidP="00AD629F">
      <w:pPr>
        <w:rPr>
          <w:rStyle w:val="Hyperlink"/>
        </w:rPr>
      </w:pPr>
      <w:hyperlink r:id="rId14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961EDB" w:rsidP="00AD629F">
      <w:pPr>
        <w:rPr>
          <w:rStyle w:val="Hyperlink"/>
        </w:rPr>
      </w:pPr>
      <w:hyperlink r:id="rId15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961EDB" w:rsidP="00AD629F">
      <w:pPr>
        <w:rPr>
          <w:rStyle w:val="Hyperlink"/>
        </w:rPr>
      </w:pPr>
      <w:hyperlink r:id="rId16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63DA1D5B" w:rsidR="00FB5B5B" w:rsidRDefault="00961EDB" w:rsidP="00AD629F">
      <w:hyperlink r:id="rId17" w:history="1">
        <w:r w:rsidR="00827295" w:rsidRPr="00827295">
          <w:rPr>
            <w:rStyle w:val="Hyperlink"/>
          </w:rPr>
          <w:t>East Lothian Council</w:t>
        </w:r>
      </w:hyperlink>
    </w:p>
    <w:p w14:paraId="74A645CA" w14:textId="77777777" w:rsidR="00827295" w:rsidRPr="009A6BBC" w:rsidRDefault="00827295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720A64EC" w14:textId="77777777" w:rsidR="00147E77" w:rsidRDefault="00147E77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1F85FB67" w:rsidR="00333124" w:rsidRPr="00F83ADC" w:rsidRDefault="00333124" w:rsidP="00647971">
      <w:pPr>
        <w:rPr>
          <w:rFonts w:eastAsia="Times New Roman"/>
          <w:sz w:val="32"/>
          <w:szCs w:val="32"/>
        </w:rPr>
      </w:pPr>
      <w:r w:rsidRPr="00F83ADC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8" w:history="1">
        <w:r w:rsidRPr="00F83ADC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F83ADC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F83ADC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19" w:history="1">
        <w:r w:rsidRPr="00F83ADC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386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0018" w14:textId="77777777" w:rsidR="00386EAC" w:rsidRDefault="00386EAC" w:rsidP="00660C79">
      <w:pPr>
        <w:spacing w:line="240" w:lineRule="auto"/>
      </w:pPr>
      <w:r>
        <w:separator/>
      </w:r>
    </w:p>
  </w:endnote>
  <w:endnote w:type="continuationSeparator" w:id="0">
    <w:p w14:paraId="3F5F3CB5" w14:textId="77777777" w:rsidR="00386EAC" w:rsidRDefault="00386EAC" w:rsidP="00660C79">
      <w:pPr>
        <w:spacing w:line="240" w:lineRule="auto"/>
      </w:pPr>
      <w:r>
        <w:continuationSeparator/>
      </w:r>
    </w:p>
  </w:endnote>
  <w:endnote w:type="continuationNotice" w:id="1">
    <w:p w14:paraId="395E502C" w14:textId="77777777" w:rsidR="00386EAC" w:rsidRDefault="00386E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BD0F" w14:textId="77777777" w:rsidR="00386EAC" w:rsidRDefault="00386EAC" w:rsidP="00660C79">
      <w:pPr>
        <w:spacing w:line="240" w:lineRule="auto"/>
      </w:pPr>
      <w:r>
        <w:separator/>
      </w:r>
    </w:p>
  </w:footnote>
  <w:footnote w:type="continuationSeparator" w:id="0">
    <w:p w14:paraId="40A18D08" w14:textId="77777777" w:rsidR="00386EAC" w:rsidRDefault="00386EAC" w:rsidP="00660C79">
      <w:pPr>
        <w:spacing w:line="240" w:lineRule="auto"/>
      </w:pPr>
      <w:r>
        <w:continuationSeparator/>
      </w:r>
    </w:p>
  </w:footnote>
  <w:footnote w:type="continuationNotice" w:id="1">
    <w:p w14:paraId="3A33769F" w14:textId="77777777" w:rsidR="00386EAC" w:rsidRDefault="00386E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1AD1C8F8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proofErr w:type="spellStart"/>
    <w:r w:rsidR="00060577">
      <w:rPr>
        <w:color w:val="6E7571" w:themeColor="text2"/>
      </w:rPr>
      <w:t>Thorntonloch</w:t>
    </w:r>
    <w:proofErr w:type="spellEnd"/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257F7"/>
    <w:rsid w:val="0003257F"/>
    <w:rsid w:val="00032829"/>
    <w:rsid w:val="00040561"/>
    <w:rsid w:val="00040F13"/>
    <w:rsid w:val="000421F8"/>
    <w:rsid w:val="000561BA"/>
    <w:rsid w:val="00060577"/>
    <w:rsid w:val="0006058B"/>
    <w:rsid w:val="00070937"/>
    <w:rsid w:val="00075AD5"/>
    <w:rsid w:val="00083309"/>
    <w:rsid w:val="000A74F0"/>
    <w:rsid w:val="000B7559"/>
    <w:rsid w:val="000C0C1D"/>
    <w:rsid w:val="000D56FC"/>
    <w:rsid w:val="000E0D15"/>
    <w:rsid w:val="00105F31"/>
    <w:rsid w:val="00117F37"/>
    <w:rsid w:val="0012582F"/>
    <w:rsid w:val="00126FE2"/>
    <w:rsid w:val="001456CE"/>
    <w:rsid w:val="00145951"/>
    <w:rsid w:val="00147E77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1F600E"/>
    <w:rsid w:val="0020100A"/>
    <w:rsid w:val="00203EE0"/>
    <w:rsid w:val="002119D0"/>
    <w:rsid w:val="00223CED"/>
    <w:rsid w:val="00224424"/>
    <w:rsid w:val="00236552"/>
    <w:rsid w:val="002415AB"/>
    <w:rsid w:val="00262000"/>
    <w:rsid w:val="00264447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B5CBF"/>
    <w:rsid w:val="002C5CD8"/>
    <w:rsid w:val="002C64E1"/>
    <w:rsid w:val="002D00CC"/>
    <w:rsid w:val="0030096D"/>
    <w:rsid w:val="00316D6B"/>
    <w:rsid w:val="00317618"/>
    <w:rsid w:val="0032269D"/>
    <w:rsid w:val="00330510"/>
    <w:rsid w:val="00333124"/>
    <w:rsid w:val="0034245C"/>
    <w:rsid w:val="0036561F"/>
    <w:rsid w:val="003813A7"/>
    <w:rsid w:val="00386EAC"/>
    <w:rsid w:val="003937FF"/>
    <w:rsid w:val="00394664"/>
    <w:rsid w:val="00394FE4"/>
    <w:rsid w:val="003A24DE"/>
    <w:rsid w:val="003A3036"/>
    <w:rsid w:val="003A69EB"/>
    <w:rsid w:val="003B4909"/>
    <w:rsid w:val="003C4CFE"/>
    <w:rsid w:val="003E5193"/>
    <w:rsid w:val="003F2F10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84E4B"/>
    <w:rsid w:val="00487579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109A"/>
    <w:rsid w:val="005A355E"/>
    <w:rsid w:val="005C24E2"/>
    <w:rsid w:val="005D0F18"/>
    <w:rsid w:val="005D1213"/>
    <w:rsid w:val="005D4F02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1F3A"/>
    <w:rsid w:val="007948BC"/>
    <w:rsid w:val="007A0FC7"/>
    <w:rsid w:val="007C3F12"/>
    <w:rsid w:val="007C46A3"/>
    <w:rsid w:val="007D0A51"/>
    <w:rsid w:val="007D0C25"/>
    <w:rsid w:val="007D441B"/>
    <w:rsid w:val="007D54FE"/>
    <w:rsid w:val="007F7DD9"/>
    <w:rsid w:val="00801105"/>
    <w:rsid w:val="0082180C"/>
    <w:rsid w:val="00827295"/>
    <w:rsid w:val="00831223"/>
    <w:rsid w:val="00847929"/>
    <w:rsid w:val="00861B46"/>
    <w:rsid w:val="00882928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1EDB"/>
    <w:rsid w:val="00962B4C"/>
    <w:rsid w:val="0096701B"/>
    <w:rsid w:val="00967068"/>
    <w:rsid w:val="009738BD"/>
    <w:rsid w:val="00973CF7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235EE"/>
    <w:rsid w:val="00A339A1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C4E9B"/>
    <w:rsid w:val="00AD629F"/>
    <w:rsid w:val="00AE068C"/>
    <w:rsid w:val="00B15314"/>
    <w:rsid w:val="00B16ADC"/>
    <w:rsid w:val="00B2354E"/>
    <w:rsid w:val="00B2762F"/>
    <w:rsid w:val="00B3261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2599F"/>
    <w:rsid w:val="00C43C4E"/>
    <w:rsid w:val="00C50030"/>
    <w:rsid w:val="00C50F66"/>
    <w:rsid w:val="00C569B9"/>
    <w:rsid w:val="00C56B89"/>
    <w:rsid w:val="00C76C57"/>
    <w:rsid w:val="00C77C2A"/>
    <w:rsid w:val="00C77FDB"/>
    <w:rsid w:val="00C96092"/>
    <w:rsid w:val="00CD6AC0"/>
    <w:rsid w:val="00CE03CD"/>
    <w:rsid w:val="00CF353B"/>
    <w:rsid w:val="00CF3CFF"/>
    <w:rsid w:val="00CF7EFB"/>
    <w:rsid w:val="00D008C2"/>
    <w:rsid w:val="00D03ECC"/>
    <w:rsid w:val="00D14049"/>
    <w:rsid w:val="00D210AB"/>
    <w:rsid w:val="00D30573"/>
    <w:rsid w:val="00D35448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379CB"/>
    <w:rsid w:val="00E52169"/>
    <w:rsid w:val="00E67C75"/>
    <w:rsid w:val="00E731C8"/>
    <w:rsid w:val="00E7524F"/>
    <w:rsid w:val="00E75C7C"/>
    <w:rsid w:val="00EC6A73"/>
    <w:rsid w:val="00F07048"/>
    <w:rsid w:val="00F07F36"/>
    <w:rsid w:val="00F1543B"/>
    <w:rsid w:val="00F1598F"/>
    <w:rsid w:val="00F72274"/>
    <w:rsid w:val="00F83ADC"/>
    <w:rsid w:val="00F92B50"/>
    <w:rsid w:val="00F970B6"/>
    <w:rsid w:val="00FA113D"/>
    <w:rsid w:val="00FA50C4"/>
    <w:rsid w:val="00FA5CCF"/>
    <w:rsid w:val="00FB5B5B"/>
    <w:rsid w:val="00FD3312"/>
    <w:rsid w:val="00FE0D18"/>
    <w:rsid w:val="00FE1827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sepa.org.uk/environmentalevents" TargetMode="External"/><Relationship Id="rId18" Type="http://schemas.openxmlformats.org/officeDocument/2006/relationships/hyperlink" Target="mailto:equalities@sepa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eastlothian.gov.uk/contac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olicies/water/protected-wat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rainfal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contactscotland-bs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bathingwater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99F7C-8833-418F-96AB-8303320CE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31e71cbe-88ca-4308-8a3f-9a324ed9060e"/>
    <ds:schemaRef ds:uri="6817a18b-ca13-4b62-8bc4-ed31bbcf9b80"/>
    <ds:schemaRef ds:uri="http://schemas.openxmlformats.org/package/2006/metadata/core-properties"/>
    <ds:schemaRef ds:uri="40c94b42-d2ee-4825-8c24-8ec1de57d16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20</TotalTime>
  <Pages>7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30</cp:revision>
  <cp:lastPrinted>2023-03-23T21:44:00Z</cp:lastPrinted>
  <dcterms:created xsi:type="dcterms:W3CDTF">2024-03-28T16:05:00Z</dcterms:created>
  <dcterms:modified xsi:type="dcterms:W3CDTF">2024-05-24T11:13:00Z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